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94223" w14:textId="77777777" w:rsidR="002A2283" w:rsidRDefault="006C4B87">
      <w:pPr>
        <w:jc w:val="right"/>
      </w:pPr>
      <w:r>
        <w:pict w14:anchorId="131EB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pt;height:100.2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2A2283" w14:paraId="4D875757" w14:textId="77777777">
        <w:tc>
          <w:tcPr>
            <w:tcW w:w="9025" w:type="dxa"/>
          </w:tcPr>
          <w:p w14:paraId="114AFEB3" w14:textId="77777777" w:rsidR="002A2283" w:rsidRDefault="006C4B87">
            <w:pPr>
              <w:jc w:val="center"/>
            </w:pPr>
            <w:r>
              <w:rPr>
                <w:b/>
                <w:bCs/>
                <w:sz w:val="22"/>
                <w:szCs w:val="22"/>
              </w:rPr>
              <w:t>ANEXO III</w:t>
            </w:r>
          </w:p>
          <w:p w14:paraId="0519E588" w14:textId="77777777" w:rsidR="002A2283" w:rsidRDefault="006C4B87">
            <w:pPr>
              <w:jc w:val="center"/>
            </w:pPr>
            <w:r>
              <w:rPr>
                <w:b/>
                <w:bCs/>
                <w:sz w:val="22"/>
                <w:szCs w:val="22"/>
                <w:u w:val="single"/>
              </w:rPr>
              <w:t>DETALLE DE RENGLONES Y ESPECIFICACIONES TÉCNICAS</w:t>
            </w:r>
          </w:p>
        </w:tc>
      </w:tr>
      <w:tr w:rsidR="002A2283" w14:paraId="3A252842" w14:textId="77777777">
        <w:tc>
          <w:tcPr>
            <w:tcW w:w="9025" w:type="dxa"/>
          </w:tcPr>
          <w:p w14:paraId="5C2E82A4" w14:textId="77777777" w:rsidR="002A2283" w:rsidRDefault="006C4B87">
            <w:r>
              <w:rPr>
                <w:b/>
                <w:bCs/>
                <w:color w:val="000000"/>
                <w:sz w:val="22"/>
                <w:szCs w:val="22"/>
                <w:u w:val="single"/>
              </w:rPr>
              <w:t>DATOS DEL PROCEDIMIENTO CONTRACTUAL</w:t>
            </w:r>
            <w:r>
              <w:br/>
            </w:r>
            <w:r>
              <w:rPr>
                <w:color w:val="000000"/>
              </w:rPr>
              <w:t xml:space="preserve">Tipo/Número/año: </w:t>
            </w:r>
            <w:r>
              <w:rPr>
                <w:b/>
                <w:bCs/>
                <w:color w:val="000000"/>
              </w:rPr>
              <w:t>Procedimiento Abreviado-SAMO-FONDOS PROPIOS - 798119/2026</w:t>
            </w:r>
            <w:r>
              <w:br/>
            </w:r>
            <w:r>
              <w:rPr>
                <w:b/>
                <w:bCs/>
                <w:color w:val="000000"/>
              </w:rPr>
              <w:t xml:space="preserve">Expediente </w:t>
            </w:r>
            <w:proofErr w:type="spellStart"/>
            <w:r>
              <w:rPr>
                <w:b/>
                <w:bCs/>
                <w:color w:val="000000"/>
              </w:rPr>
              <w:t>N°</w:t>
            </w:r>
            <w:proofErr w:type="spellEnd"/>
            <w:r>
              <w:rPr>
                <w:b/>
                <w:bCs/>
                <w:color w:val="000000"/>
              </w:rPr>
              <w:t xml:space="preserve">: </w:t>
            </w:r>
            <w:r>
              <w:rPr>
                <w:color w:val="000000"/>
              </w:rPr>
              <w:t>EX-2026-34171127- -GDEBA-HZGASFMSALGP</w:t>
            </w:r>
          </w:p>
          <w:p w14:paraId="7F56A5D7" w14:textId="2BC7CF7C" w:rsidR="002A2283" w:rsidRDefault="006C4B87">
            <w:r>
              <w:rPr>
                <w:b/>
                <w:bCs/>
                <w:color w:val="000000"/>
                <w:sz w:val="22"/>
                <w:szCs w:val="22"/>
                <w:u w:val="single"/>
              </w:rPr>
              <w:t>DATOS DEL ORGANISMO CONTRATANTE</w:t>
            </w:r>
            <w:r>
              <w:br/>
            </w:r>
            <w:r>
              <w:rPr>
                <w:color w:val="000000"/>
              </w:rPr>
              <w:t xml:space="preserve">Denominación: </w:t>
            </w:r>
            <w:r>
              <w:rPr>
                <w:b/>
                <w:bCs/>
                <w:color w:val="000000"/>
              </w:rPr>
              <w:t>HOSPITAL INTERZONAL GENERAL AGUDOS SAN FELIPE DE SAN NICOLAS</w:t>
            </w:r>
            <w:r>
              <w:br/>
            </w:r>
            <w:r>
              <w:rPr>
                <w:color w:val="000000"/>
              </w:rPr>
              <w:t xml:space="preserve">Domicilio: </w:t>
            </w:r>
            <w:proofErr w:type="gramStart"/>
            <w:r>
              <w:rPr>
                <w:color w:val="000000"/>
              </w:rPr>
              <w:t xml:space="preserve">AV </w:t>
            </w:r>
            <w:r>
              <w:rPr>
                <w:color w:val="000000"/>
              </w:rPr>
              <w:t xml:space="preserve"> </w:t>
            </w:r>
            <w:r>
              <w:rPr>
                <w:b/>
                <w:bCs/>
                <w:color w:val="000000"/>
              </w:rPr>
              <w:t>MORENO</w:t>
            </w:r>
            <w:proofErr w:type="gramEnd"/>
            <w:r>
              <w:rPr>
                <w:b/>
                <w:bCs/>
                <w:color w:val="000000"/>
              </w:rPr>
              <w:t xml:space="preserve"> Nro. 31   - SAN NICOLAS DE LOS ARROYOS                                                                          </w:t>
            </w:r>
            <w:r>
              <w:br/>
            </w:r>
            <w:r>
              <w:br/>
            </w:r>
            <w:r>
              <w:rPr>
                <w:color w:val="000000"/>
              </w:rPr>
              <w:t>El presente llamado tiene por objeto la adquisición de los bienes o servicios que se detallan</w:t>
            </w:r>
          </w:p>
        </w:tc>
      </w:tr>
    </w:tbl>
    <w:p w14:paraId="3E864F42" w14:textId="77777777" w:rsidR="002A2283" w:rsidRDefault="002A2283"/>
    <w:tbl>
      <w:tblPr>
        <w:tblStyle w:val="RenglonesTable"/>
        <w:tblW w:w="0" w:type="auto"/>
        <w:tblInd w:w="60" w:type="dxa"/>
        <w:tblLook w:val="04A0" w:firstRow="1" w:lastRow="0" w:firstColumn="1" w:lastColumn="0" w:noHBand="0" w:noVBand="1"/>
      </w:tblPr>
      <w:tblGrid>
        <w:gridCol w:w="1074"/>
        <w:gridCol w:w="1089"/>
        <w:gridCol w:w="1069"/>
        <w:gridCol w:w="1217"/>
        <w:gridCol w:w="1100"/>
        <w:gridCol w:w="3536"/>
      </w:tblGrid>
      <w:tr w:rsidR="002A2283" w14:paraId="02589FEC" w14:textId="77777777">
        <w:tc>
          <w:tcPr>
            <w:tcW w:w="1200" w:type="dxa"/>
            <w:vAlign w:val="center"/>
          </w:tcPr>
          <w:p w14:paraId="419B644E" w14:textId="77777777" w:rsidR="002A2283" w:rsidRDefault="006C4B87">
            <w:pPr>
              <w:jc w:val="center"/>
            </w:pPr>
            <w:r>
              <w:rPr>
                <w:b/>
                <w:bCs/>
                <w:sz w:val="16"/>
                <w:szCs w:val="16"/>
              </w:rPr>
              <w:t>RENGLÓN</w:t>
            </w:r>
          </w:p>
        </w:tc>
        <w:tc>
          <w:tcPr>
            <w:tcW w:w="1200" w:type="dxa"/>
            <w:vAlign w:val="center"/>
          </w:tcPr>
          <w:p w14:paraId="0163C933" w14:textId="77777777" w:rsidR="002A2283" w:rsidRDefault="006C4B87">
            <w:pPr>
              <w:jc w:val="center"/>
            </w:pPr>
            <w:r>
              <w:rPr>
                <w:b/>
                <w:bCs/>
                <w:sz w:val="16"/>
                <w:szCs w:val="16"/>
              </w:rPr>
              <w:t>CANTIDAD</w:t>
            </w:r>
          </w:p>
        </w:tc>
        <w:tc>
          <w:tcPr>
            <w:tcW w:w="1200" w:type="dxa"/>
            <w:vAlign w:val="center"/>
          </w:tcPr>
          <w:p w14:paraId="6C2A5A3A" w14:textId="77777777" w:rsidR="002A2283" w:rsidRDefault="006C4B87">
            <w:pPr>
              <w:jc w:val="center"/>
            </w:pPr>
            <w:r>
              <w:rPr>
                <w:b/>
                <w:bCs/>
                <w:sz w:val="16"/>
                <w:szCs w:val="16"/>
              </w:rPr>
              <w:t>MUESTRA</w:t>
            </w:r>
          </w:p>
        </w:tc>
        <w:tc>
          <w:tcPr>
            <w:tcW w:w="1500" w:type="dxa"/>
            <w:vAlign w:val="center"/>
          </w:tcPr>
          <w:p w14:paraId="2FD465D3" w14:textId="77777777" w:rsidR="002A2283" w:rsidRDefault="006C4B87">
            <w:pPr>
              <w:jc w:val="center"/>
            </w:pPr>
            <w:r>
              <w:rPr>
                <w:b/>
                <w:bCs/>
                <w:sz w:val="16"/>
                <w:szCs w:val="16"/>
              </w:rPr>
              <w:t>CÓD. VADEME</w:t>
            </w:r>
          </w:p>
        </w:tc>
        <w:tc>
          <w:tcPr>
            <w:tcW w:w="1500" w:type="dxa"/>
            <w:vAlign w:val="center"/>
          </w:tcPr>
          <w:p w14:paraId="02530D53" w14:textId="77777777" w:rsidR="002A2283" w:rsidRDefault="006C4B87">
            <w:pPr>
              <w:jc w:val="center"/>
            </w:pPr>
            <w:r>
              <w:rPr>
                <w:b/>
                <w:bCs/>
                <w:sz w:val="16"/>
                <w:szCs w:val="16"/>
              </w:rPr>
              <w:t>CÓD. SIGAF</w:t>
            </w:r>
          </w:p>
        </w:tc>
        <w:tc>
          <w:tcPr>
            <w:tcW w:w="5000" w:type="dxa"/>
            <w:vAlign w:val="center"/>
          </w:tcPr>
          <w:p w14:paraId="4732C912" w14:textId="77777777" w:rsidR="002A2283" w:rsidRDefault="006C4B87">
            <w:pPr>
              <w:jc w:val="center"/>
            </w:pPr>
            <w:r>
              <w:rPr>
                <w:b/>
                <w:bCs/>
                <w:sz w:val="16"/>
                <w:szCs w:val="16"/>
              </w:rPr>
              <w:t>DESCRIPCIÓN</w:t>
            </w:r>
          </w:p>
        </w:tc>
      </w:tr>
      <w:tr w:rsidR="002A2283" w14:paraId="46A7C694" w14:textId="77777777">
        <w:tc>
          <w:tcPr>
            <w:tcW w:w="1200" w:type="dxa"/>
            <w:vAlign w:val="center"/>
          </w:tcPr>
          <w:p w14:paraId="1CFBC5D4" w14:textId="77777777" w:rsidR="002A2283" w:rsidRDefault="006C4B87">
            <w:pPr>
              <w:jc w:val="center"/>
            </w:pPr>
            <w:r>
              <w:rPr>
                <w:sz w:val="16"/>
                <w:szCs w:val="16"/>
              </w:rPr>
              <w:t>1</w:t>
            </w:r>
          </w:p>
        </w:tc>
        <w:tc>
          <w:tcPr>
            <w:tcW w:w="1200" w:type="dxa"/>
            <w:vAlign w:val="center"/>
          </w:tcPr>
          <w:p w14:paraId="01E10620" w14:textId="77777777" w:rsidR="002A2283" w:rsidRDefault="006C4B87">
            <w:pPr>
              <w:jc w:val="right"/>
            </w:pPr>
            <w:r>
              <w:rPr>
                <w:sz w:val="16"/>
                <w:szCs w:val="16"/>
              </w:rPr>
              <w:t>1</w:t>
            </w:r>
          </w:p>
        </w:tc>
        <w:tc>
          <w:tcPr>
            <w:tcW w:w="1200" w:type="dxa"/>
            <w:vAlign w:val="center"/>
          </w:tcPr>
          <w:p w14:paraId="30B4B545" w14:textId="77777777" w:rsidR="002A2283" w:rsidRDefault="006C4B87">
            <w:pPr>
              <w:jc w:val="center"/>
            </w:pPr>
            <w:r>
              <w:rPr>
                <w:sz w:val="16"/>
                <w:szCs w:val="16"/>
              </w:rPr>
              <w:t>No</w:t>
            </w:r>
          </w:p>
        </w:tc>
        <w:tc>
          <w:tcPr>
            <w:tcW w:w="1500" w:type="dxa"/>
            <w:vAlign w:val="center"/>
          </w:tcPr>
          <w:p w14:paraId="1F9AE206" w14:textId="77777777" w:rsidR="002A2283" w:rsidRDefault="006C4B87">
            <w:pPr>
              <w:jc w:val="center"/>
            </w:pPr>
            <w:r>
              <w:rPr>
                <w:sz w:val="16"/>
                <w:szCs w:val="16"/>
              </w:rPr>
              <w:t>GZ999148</w:t>
            </w:r>
          </w:p>
        </w:tc>
        <w:tc>
          <w:tcPr>
            <w:tcW w:w="1500" w:type="dxa"/>
            <w:vAlign w:val="center"/>
          </w:tcPr>
          <w:p w14:paraId="13DDD560" w14:textId="77777777" w:rsidR="002A2283" w:rsidRDefault="006C4B87">
            <w:pPr>
              <w:jc w:val="center"/>
            </w:pPr>
            <w:r>
              <w:rPr>
                <w:sz w:val="16"/>
                <w:szCs w:val="16"/>
              </w:rPr>
              <w:t>00174-0030</w:t>
            </w:r>
          </w:p>
        </w:tc>
        <w:tc>
          <w:tcPr>
            <w:tcW w:w="5000" w:type="dxa"/>
            <w:vAlign w:val="center"/>
          </w:tcPr>
          <w:p w14:paraId="404F8B82" w14:textId="77777777" w:rsidR="002A2283" w:rsidRDefault="006C4B87">
            <w:r>
              <w:rPr>
                <w:sz w:val="16"/>
                <w:szCs w:val="16"/>
              </w:rPr>
              <w:t xml:space="preserve">RECIPIENTE P/ALMACENAMIENTO Y TRANSPORTE DE NITROGENO LIQUIDO CAPACIDAD 20 </w:t>
            </w:r>
            <w:proofErr w:type="gramStart"/>
            <w:r>
              <w:rPr>
                <w:sz w:val="16"/>
                <w:szCs w:val="16"/>
              </w:rPr>
              <w:t>LITROS  UNIDAD</w:t>
            </w:r>
            <w:proofErr w:type="gramEnd"/>
            <w:r>
              <w:rPr>
                <w:sz w:val="16"/>
                <w:szCs w:val="16"/>
              </w:rPr>
              <w:t xml:space="preserve">  Tanque para almacenamiento de nitrógeno líquido de 20 litros de capacidad, con funda protectora y capacidad de conservación de al menos 8 semanas. Garantía de al menos 12 meses</w:t>
            </w:r>
          </w:p>
        </w:tc>
      </w:tr>
    </w:tbl>
    <w:p w14:paraId="2D79F921" w14:textId="77777777" w:rsidR="002A2283" w:rsidRDefault="006C4B87">
      <w:r>
        <w:br w:type="page"/>
      </w:r>
    </w:p>
    <w:tbl>
      <w:tblPr>
        <w:tblStyle w:val="FullWidthBox"/>
        <w:tblW w:w="0" w:type="auto"/>
        <w:tblInd w:w="80" w:type="dxa"/>
        <w:tblLook w:val="04A0" w:firstRow="1" w:lastRow="0" w:firstColumn="1" w:lastColumn="0" w:noHBand="0" w:noVBand="1"/>
      </w:tblPr>
      <w:tblGrid>
        <w:gridCol w:w="9025"/>
      </w:tblGrid>
      <w:tr w:rsidR="002A2283" w14:paraId="197C4370" w14:textId="77777777">
        <w:tc>
          <w:tcPr>
            <w:tcW w:w="9025" w:type="dxa"/>
          </w:tcPr>
          <w:p w14:paraId="3B5726E7" w14:textId="4BC4E90C" w:rsidR="002A2283" w:rsidRDefault="006C4B87">
            <w:r>
              <w:rPr>
                <w:b/>
                <w:bCs/>
                <w:color w:val="000000"/>
              </w:rPr>
              <w:lastRenderedPageBreak/>
              <w:t>1.- Forma, plazo y lugar de entrega:</w:t>
            </w:r>
            <w:r>
              <w:br/>
            </w:r>
            <w:r>
              <w:rPr>
                <w:color w:val="000000"/>
              </w:rPr>
              <w:t xml:space="preserve">La forma de entrega es: UNICA </w:t>
            </w:r>
            <w:r>
              <w:rPr>
                <w:b/>
                <w:bCs/>
                <w:color w:val="FF0000"/>
              </w:rPr>
              <w:t xml:space="preserve">30 DIAS CORRIDOS DE NOTIFICADA LA ORDEN DE COMPRA </w:t>
            </w:r>
            <w:r>
              <w:rPr>
                <w:color w:val="000000"/>
              </w:rPr>
              <w:t>El lugar de entrega de los insumos y/o prestación del servicio es: INGENIERIA</w:t>
            </w:r>
            <w:r>
              <w:br/>
            </w:r>
            <w:r>
              <w:br/>
            </w:r>
            <w:r>
              <w:rPr>
                <w:b/>
                <w:bCs/>
                <w:color w:val="000000"/>
              </w:rPr>
              <w:t>2.- Presentación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 de la apertura del acto.</w:t>
            </w:r>
            <w:r>
              <w:br/>
            </w:r>
            <w:r>
              <w:rPr>
                <w:b/>
                <w:bCs/>
                <w:color w:val="000000"/>
              </w:rPr>
              <w:t xml:space="preserve">Este párrafo tendrá validez si el detalle del lugar y el horario están </w:t>
            </w:r>
            <w:proofErr w:type="spellStart"/>
            <w:r>
              <w:rPr>
                <w:b/>
                <w:bCs/>
                <w:color w:val="000000"/>
              </w:rPr>
              <w:t>completados.</w:t>
            </w:r>
            <w:r>
              <w:rPr>
                <w:color w:val="000000"/>
              </w:rPr>
              <w:t>Lo</w:t>
            </w:r>
            <w:proofErr w:type="spellEnd"/>
            <w:r>
              <w:rPr>
                <w:color w:val="000000"/>
              </w:rPr>
              <w:t xml:space="preserve"> anterio</w:t>
            </w:r>
            <w:r>
              <w:rPr>
                <w:color w:val="000000"/>
              </w:rPr>
              <w:t xml:space="preserve">rmente expuesto no reemplaza la facultad que posee el comitente que podrá durante el proceso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br/>
            </w:r>
            <w:r>
              <w:br/>
            </w:r>
            <w:r>
              <w:rPr>
                <w:b/>
                <w:bCs/>
                <w:color w:val="000000"/>
              </w:rPr>
              <w:t>3.- Envases:</w:t>
            </w:r>
            <w:r>
              <w:br/>
            </w:r>
            <w:r>
              <w:rPr>
                <w:color w:val="000000"/>
              </w:rPr>
              <w:t>Se deberán presentar en el envase original, o en su defecto en envase tipo hospitalario. No se aceptará</w:t>
            </w:r>
            <w:r>
              <w:rPr>
                <w:color w:val="000000"/>
              </w:rPr>
              <w:t xml:space="preserve"> aquella mercadería que no conserve debidamente el aspecto e integridad de los embalajes.</w:t>
            </w:r>
            <w:r>
              <w:br/>
            </w:r>
            <w:r>
              <w:rPr>
                <w:color w:val="000000"/>
              </w:rPr>
              <w:t>Deberán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concentración de los principios activos, condiciones de conservación, nro. de lote o partida, fecha de vencimiento, vía de admini</w:t>
            </w:r>
            <w:r>
              <w:rPr>
                <w:color w:val="000000"/>
              </w:rPr>
              <w:t>stración, nombre del Laboratorio elaborador o importador.</w:t>
            </w:r>
            <w:r>
              <w:br/>
            </w:r>
            <w:r>
              <w:rPr>
                <w:b/>
                <w:bCs/>
                <w:color w:val="000000"/>
              </w:rPr>
              <w:t xml:space="preserve">Envases Secundarios: </w:t>
            </w:r>
            <w:r>
              <w:rPr>
                <w:color w:val="000000"/>
              </w:rPr>
              <w:t>nombre genérico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 xml:space="preserve">Con la presentación de la oferta se deberá adjuntar prospecto vigente de cada producto en idioma español, ajustado a lo aprobado por la ANMAT. En caso de entregarse </w:t>
            </w:r>
            <w:r>
              <w:rPr>
                <w:color w:val="000000"/>
              </w:rPr>
              <w:t>envases hospitalarios deberán adjuntarse varias copias de prospectos.</w:t>
            </w:r>
            <w:r>
              <w:br/>
            </w:r>
            <w:r>
              <w:rPr>
                <w:color w:val="000000"/>
              </w:rPr>
              <w:t xml:space="preserve">Todos los productos de uso inyectables deberán ser estériles y </w:t>
            </w:r>
            <w:proofErr w:type="spellStart"/>
            <w:r>
              <w:rPr>
                <w:color w:val="000000"/>
              </w:rPr>
              <w:t>apirógenos</w:t>
            </w:r>
            <w:proofErr w:type="spellEnd"/>
            <w:r>
              <w:rPr>
                <w:color w:val="000000"/>
              </w:rPr>
              <w:t>. Para los medicamentos que requieran cadena de frío, es necesario que sean provistos en contenedores especiales para tal fin y con el control físico-químico de constancia de temperatura entre 2° y 8° grados centígrados.</w:t>
            </w:r>
            <w:r>
              <w:br/>
            </w:r>
            <w:r>
              <w:rPr>
                <w:color w:val="000000"/>
              </w:rPr>
              <w:t xml:space="preserve">Comprimidos y Capsulas: Deberán entregarse en envases </w:t>
            </w:r>
            <w:proofErr w:type="spellStart"/>
            <w:r>
              <w:rPr>
                <w:color w:val="000000"/>
              </w:rPr>
              <w:t>bilaminados</w:t>
            </w:r>
            <w:proofErr w:type="spellEnd"/>
            <w:r>
              <w:rPr>
                <w:color w:val="000000"/>
              </w:rPr>
              <w:t xml:space="preserve"> (</w:t>
            </w:r>
            <w:proofErr w:type="spellStart"/>
            <w:r>
              <w:rPr>
                <w:color w:val="000000"/>
              </w:rPr>
              <w:t>blister</w:t>
            </w:r>
            <w:proofErr w:type="spellEnd"/>
            <w:r>
              <w:rPr>
                <w:color w:val="000000"/>
              </w:rPr>
              <w:t>) constando en forma individualizada, en el reverso de cada comprimido, el</w:t>
            </w:r>
            <w:r>
              <w:rPr>
                <w:color w:val="000000"/>
              </w:rPr>
              <w:t xml:space="preserve"> nombre de la </w:t>
            </w:r>
            <w:proofErr w:type="spellStart"/>
            <w:r>
              <w:rPr>
                <w:color w:val="000000"/>
              </w:rPr>
              <w:t>monodroga</w:t>
            </w:r>
            <w:proofErr w:type="spellEnd"/>
            <w:r>
              <w:rPr>
                <w:color w:val="000000"/>
              </w:rPr>
              <w:t>, fecha de vencimiento, lote y concentración, que permita su rápida y correcta identificación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cumplimiento de lo establecido precedentemente, será causal de devolución de la mercadería presentada.</w:t>
            </w:r>
            <w:r>
              <w:br/>
            </w:r>
            <w:r>
              <w:br/>
            </w:r>
            <w:r>
              <w:rPr>
                <w:b/>
                <w:bCs/>
                <w:color w:val="000000"/>
              </w:rPr>
              <w:t>6.- Documentación Técnica a presentar con</w:t>
            </w:r>
            <w:r>
              <w:rPr>
                <w:b/>
                <w:bCs/>
                <w:color w:val="000000"/>
              </w:rPr>
              <w:t xml:space="preserve"> la oferta:</w:t>
            </w:r>
            <w:r>
              <w:br/>
            </w:r>
            <w:r>
              <w:rPr>
                <w:b/>
                <w:bCs/>
                <w:color w:val="000000"/>
              </w:rPr>
              <w:lastRenderedPageBreak/>
              <w:t xml:space="preserve">6.1.- </w:t>
            </w:r>
            <w:r>
              <w:rPr>
                <w:color w:val="000000"/>
              </w:rPr>
              <w:t xml:space="preserve">Los oferentes se harán responsables que los productos cumplan con las normas de buena práctica de manufactura recomendadas por el comité de Expertos de la OMS y con las normas internacionalmente reconocidas que sean aceptadas por la A.N.M.A.T y por el Laboratorio Central de Salud </w:t>
            </w:r>
            <w:proofErr w:type="spellStart"/>
            <w:r>
              <w:rPr>
                <w:color w:val="000000"/>
              </w:rPr>
              <w:t>Publica</w:t>
            </w:r>
            <w:proofErr w:type="spellEnd"/>
            <w:r>
              <w:rPr>
                <w:color w:val="000000"/>
              </w:rPr>
              <w:t xml:space="preserve"> de la Provincia de Buenos Aires.</w:t>
            </w:r>
            <w:r>
              <w:br/>
            </w:r>
            <w:r>
              <w:rPr>
                <w:b/>
                <w:bCs/>
                <w:color w:val="000000"/>
              </w:rPr>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Atento a ello, deberán adjuntar a la propuesta copia autenticada del certificado actualizado expedido por el Ministerio de Salud de la Nación (A.N.M.A.T.) de la especialidad medicinal ofertada para cada una de las formas farmacéuticas ofrecidas (ley 16463, dec</w:t>
            </w:r>
            <w:r>
              <w:rPr>
                <w:color w:val="000000"/>
              </w:rPr>
              <w:t>reto 150/92 y reglamentarios).</w:t>
            </w:r>
            <w:r>
              <w:br/>
            </w:r>
            <w:r>
              <w:rPr>
                <w:color w:val="000000"/>
              </w:rPr>
              <w:t xml:space="preserve">Asimismo, deberá adjuntar copia certificada del certificado de habilitación como elaborador y/o importador de especialidades medicinales expedido por el Ministerio de Salud de la Nación (A.N.M.A.T), cuando corresponda. Las Droguerías y Farmacias deberán presentar fotocopia autenticada de la constancia de inscripción en la A.N.M.A.T. y el certificado de libre </w:t>
            </w:r>
            <w:proofErr w:type="spellStart"/>
            <w:r>
              <w:rPr>
                <w:color w:val="000000"/>
              </w:rPr>
              <w:t>transito</w:t>
            </w:r>
            <w:proofErr w:type="spellEnd"/>
            <w:r>
              <w:rPr>
                <w:color w:val="000000"/>
              </w:rPr>
              <w:t xml:space="preserve"> interprovincial de corresponder. </w:t>
            </w:r>
            <w:r>
              <w:rPr>
                <w:b/>
                <w:bCs/>
                <w:color w:val="000000"/>
              </w:rPr>
              <w:t>Su no presentación dará lugar al rechazo de la propuesta.</w:t>
            </w:r>
            <w:r>
              <w:br/>
            </w:r>
            <w:r>
              <w:rPr>
                <w:b/>
                <w:bCs/>
                <w:color w:val="000000"/>
              </w:rPr>
              <w:t xml:space="preserve">6.3.- </w:t>
            </w:r>
            <w:r>
              <w:rPr>
                <w:color w:val="000000"/>
              </w:rPr>
              <w:t>Una vez adjudi</w:t>
            </w:r>
            <w:r>
              <w:rPr>
                <w:color w:val="000000"/>
              </w:rPr>
              <w:t>cado, y de ser necesario, se someterá el producto a controles de calidad del colegio de Farmacéuticos de la Provincia de Buenos Aires u otra entidad oficial que tenga convenio con el Ministerio de Salud. En ese sentido, el adjudicatario, deberá reponer las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w:t>
            </w:r>
            <w:r>
              <w:rPr>
                <w:color w:val="000000"/>
              </w:rPr>
              <w:t>to productor.</w:t>
            </w:r>
          </w:p>
        </w:tc>
      </w:tr>
    </w:tbl>
    <w:p w14:paraId="4F33D928" w14:textId="77777777" w:rsidR="006C4B87" w:rsidRDefault="006C4B87"/>
    <w:sectPr w:rsidR="00000000">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A2283"/>
    <w:rsid w:val="002A2283"/>
    <w:rsid w:val="006C4B87"/>
    <w:rsid w:val="00A66A2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1CE782"/>
  <w15:docId w15:val="{E0A369FE-F399-4420-BCDB-0E22BAA7F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924</Words>
  <Characters>5087</Characters>
  <Application>Microsoft Office Word</Application>
  <DocSecurity>0</DocSecurity>
  <Lines>42</Lines>
  <Paragraphs>11</Paragraphs>
  <ScaleCrop>false</ScaleCrop>
  <Manager/>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2026-10-13T13:54:00Z</dcterms:created>
  <dcterms:modified xsi:type="dcterms:W3CDTF">2026-10-13T14:08:00Z</dcterms:modified>
  <cp:category/>
</cp:coreProperties>
</file>